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0A" w:rsidRPr="0041500A" w:rsidRDefault="0041500A" w:rsidP="0041500A">
      <w:pPr>
        <w:jc w:val="center"/>
        <w:rPr>
          <w:b/>
          <w:bCs/>
          <w:sz w:val="32"/>
          <w:szCs w:val="32"/>
        </w:rPr>
      </w:pPr>
      <w:r w:rsidRPr="0041500A">
        <w:rPr>
          <w:b/>
          <w:bCs/>
          <w:sz w:val="32"/>
          <w:szCs w:val="32"/>
        </w:rPr>
        <w:t>SA Steps</w:t>
      </w:r>
    </w:p>
    <w:p w:rsidR="00796D8E" w:rsidRDefault="00796D8E" w:rsidP="00DD73E3">
      <w:r>
        <w:t>The following steps are recommended to help you navigate through the Self Assessment (SA) process:</w:t>
      </w:r>
    </w:p>
    <w:p w:rsidR="00E03453" w:rsidRDefault="00832763" w:rsidP="00DD73E3">
      <w:pPr>
        <w:pStyle w:val="ListParagraph"/>
        <w:numPr>
          <w:ilvl w:val="0"/>
          <w:numId w:val="4"/>
        </w:numPr>
      </w:pPr>
      <w:r>
        <w:t>Carefully r</w:t>
      </w:r>
      <w:r w:rsidR="00E03453">
        <w:t xml:space="preserve">ead the new version of </w:t>
      </w:r>
      <w:r w:rsidR="00E03453" w:rsidRPr="00796D8E">
        <w:rPr>
          <w:i/>
          <w:iCs/>
        </w:rPr>
        <w:t>Sam</w:t>
      </w:r>
      <w:r w:rsidR="00E03453">
        <w:t xml:space="preserve"> (Self Assessment Manual) </w:t>
      </w:r>
      <w:r>
        <w:t>circulated by email earlier</w:t>
      </w:r>
      <w:r w:rsidR="00E03453">
        <w:t xml:space="preserve">. </w:t>
      </w:r>
    </w:p>
    <w:p w:rsidR="00E03453" w:rsidRDefault="00E03453" w:rsidP="00DD73E3">
      <w:pPr>
        <w:pStyle w:val="ListParagraph"/>
        <w:numPr>
          <w:ilvl w:val="0"/>
          <w:numId w:val="4"/>
        </w:numPr>
      </w:pPr>
      <w:r>
        <w:t xml:space="preserve">Read the chapter on criteria and standards from the new version of </w:t>
      </w:r>
      <w:r w:rsidRPr="00796D8E">
        <w:rPr>
          <w:i/>
          <w:iCs/>
        </w:rPr>
        <w:t>Sam</w:t>
      </w:r>
      <w:r>
        <w:t xml:space="preserve">. </w:t>
      </w:r>
    </w:p>
    <w:p w:rsidR="00E03453" w:rsidRDefault="00E03453" w:rsidP="00DD73E3">
      <w:pPr>
        <w:pStyle w:val="ListParagraph"/>
        <w:numPr>
          <w:ilvl w:val="0"/>
          <w:numId w:val="4"/>
        </w:numPr>
      </w:pPr>
      <w:r>
        <w:t xml:space="preserve">Read the questionnaires from the new version of </w:t>
      </w:r>
      <w:r w:rsidRPr="00796D8E">
        <w:rPr>
          <w:i/>
          <w:iCs/>
        </w:rPr>
        <w:t>Sam</w:t>
      </w:r>
      <w:r w:rsidR="00832763">
        <w:t>. T</w:t>
      </w:r>
      <w:r>
        <w:t xml:space="preserve">he questionnaires have been circulated </w:t>
      </w:r>
      <w:r w:rsidR="00832763">
        <w:t xml:space="preserve">by email </w:t>
      </w:r>
      <w:r>
        <w:t xml:space="preserve">earlier as </w:t>
      </w:r>
      <w:r w:rsidR="00832763">
        <w:t>‘</w:t>
      </w:r>
      <w:r>
        <w:t>revised survey tools</w:t>
      </w:r>
      <w:r w:rsidR="00832763">
        <w:t>’</w:t>
      </w:r>
      <w:r>
        <w:t xml:space="preserve">. </w:t>
      </w:r>
      <w:r w:rsidR="00796D8E">
        <w:t xml:space="preserve">You will find some difficulty in connecting the standards with the questions. Please refer to </w:t>
      </w:r>
      <w:r w:rsidR="00CE14AC">
        <w:t xml:space="preserve">point </w:t>
      </w:r>
      <w:r w:rsidR="00796D8E">
        <w:t xml:space="preserve">21 below. </w:t>
      </w:r>
    </w:p>
    <w:p w:rsidR="00E03453" w:rsidRDefault="00E03453" w:rsidP="00DD73E3">
      <w:pPr>
        <w:pStyle w:val="ListParagraph"/>
        <w:numPr>
          <w:ilvl w:val="0"/>
          <w:numId w:val="4"/>
        </w:numPr>
      </w:pPr>
      <w:r>
        <w:t>Read the check list given in the appendix</w:t>
      </w:r>
      <w:r w:rsidR="00832763">
        <w:t xml:space="preserve"> of the new version of </w:t>
      </w:r>
      <w:r w:rsidR="00832763" w:rsidRPr="00796D8E">
        <w:rPr>
          <w:i/>
          <w:iCs/>
        </w:rPr>
        <w:t>Sam</w:t>
      </w:r>
      <w:r w:rsidR="00832763">
        <w:t>.</w:t>
      </w:r>
    </w:p>
    <w:p w:rsidR="00E03453" w:rsidRDefault="00E03453" w:rsidP="00DD73E3">
      <w:pPr>
        <w:pStyle w:val="ListParagraph"/>
        <w:numPr>
          <w:ilvl w:val="0"/>
          <w:numId w:val="4"/>
        </w:numPr>
      </w:pPr>
      <w:r>
        <w:t xml:space="preserve">Identify </w:t>
      </w:r>
      <w:r w:rsidR="00DD73E3">
        <w:t xml:space="preserve">from 1-4 </w:t>
      </w:r>
      <w:r>
        <w:t>what the entity has and what it doesn't have.</w:t>
      </w:r>
    </w:p>
    <w:p w:rsidR="00E03453" w:rsidRDefault="00832763" w:rsidP="00DD73E3">
      <w:pPr>
        <w:pStyle w:val="ListParagraph"/>
        <w:numPr>
          <w:ilvl w:val="0"/>
          <w:numId w:val="4"/>
        </w:numPr>
      </w:pPr>
      <w:r>
        <w:t>For the ‘have</w:t>
      </w:r>
      <w:r w:rsidR="00E03453">
        <w:t>s</w:t>
      </w:r>
      <w:r>
        <w:t>’,</w:t>
      </w:r>
      <w:r w:rsidR="00E03453">
        <w:t xml:space="preserve"> identify what sort of evidences you are going to produce and start </w:t>
      </w:r>
      <w:r>
        <w:t xml:space="preserve">identifying/ </w:t>
      </w:r>
      <w:r w:rsidR="00E03453">
        <w:t>gathering them.</w:t>
      </w:r>
      <w:r w:rsidR="00DD73E3">
        <w:t xml:space="preserve"> Also identify how you gather the evidence, from whom, and from where.</w:t>
      </w:r>
      <w:r w:rsidR="001C56CB">
        <w:t xml:space="preserve"> Also try to anticipate difficulties and possible exit plans. </w:t>
      </w:r>
    </w:p>
    <w:p w:rsidR="00E03453" w:rsidRDefault="00DD73E3" w:rsidP="00DD73E3">
      <w:pPr>
        <w:pStyle w:val="ListParagraph"/>
        <w:numPr>
          <w:ilvl w:val="0"/>
          <w:numId w:val="4"/>
        </w:numPr>
      </w:pPr>
      <w:r>
        <w:t>If you need to improve any of the ‘haves’, start working on them</w:t>
      </w:r>
      <w:r w:rsidR="00E03453">
        <w:t xml:space="preserve"> as well.</w:t>
      </w:r>
    </w:p>
    <w:p w:rsidR="00E03453" w:rsidRDefault="00832763" w:rsidP="00DD73E3">
      <w:pPr>
        <w:pStyle w:val="ListParagraph"/>
        <w:numPr>
          <w:ilvl w:val="0"/>
          <w:numId w:val="4"/>
        </w:numPr>
      </w:pPr>
      <w:r>
        <w:t xml:space="preserve">For the ‘have </w:t>
      </w:r>
      <w:proofErr w:type="spellStart"/>
      <w:r>
        <w:t>not</w:t>
      </w:r>
      <w:r w:rsidR="00E03453">
        <w:t>s</w:t>
      </w:r>
      <w:r>
        <w:t>’</w:t>
      </w:r>
      <w:proofErr w:type="spellEnd"/>
      <w:r>
        <w:t>,</w:t>
      </w:r>
      <w:r w:rsidR="00E03453">
        <w:t xml:space="preserve"> identify what can be generated within the department</w:t>
      </w:r>
      <w:r>
        <w:t xml:space="preserve"> in the </w:t>
      </w:r>
      <w:r w:rsidRPr="00DD73E3">
        <w:rPr>
          <w:u w:val="single"/>
        </w:rPr>
        <w:t>short run</w:t>
      </w:r>
      <w:r w:rsidR="00E03453">
        <w:t>.</w:t>
      </w:r>
    </w:p>
    <w:p w:rsidR="00E03453" w:rsidRDefault="00E03453" w:rsidP="00DD73E3">
      <w:pPr>
        <w:pStyle w:val="ListParagraph"/>
        <w:numPr>
          <w:ilvl w:val="0"/>
          <w:numId w:val="4"/>
        </w:numPr>
      </w:pPr>
      <w:r>
        <w:t>Make a list with timeline and persuade the department chair to materialize the list</w:t>
      </w:r>
      <w:r w:rsidR="00DD73E3">
        <w:t xml:space="preserve"> with the help of the dept colleagues</w:t>
      </w:r>
      <w:r>
        <w:t>.</w:t>
      </w:r>
    </w:p>
    <w:p w:rsidR="00DD73E3" w:rsidRDefault="00796D8E" w:rsidP="00DD73E3">
      <w:pPr>
        <w:pStyle w:val="ListParagraph"/>
        <w:numPr>
          <w:ilvl w:val="0"/>
          <w:numId w:val="4"/>
        </w:numPr>
      </w:pPr>
      <w:r>
        <w:t>I</w:t>
      </w:r>
      <w:r w:rsidR="00DD73E3">
        <w:t xml:space="preserve">dentify </w:t>
      </w:r>
      <w:r w:rsidR="001C56CB">
        <w:t xml:space="preserve">for 9 </w:t>
      </w:r>
      <w:r w:rsidR="00DD73E3">
        <w:t>how you gather the evidence, from whom, and from where.</w:t>
      </w:r>
      <w:r w:rsidR="001C56CB">
        <w:t xml:space="preserve"> Also try to anticipate difficulties and possible exit plans</w:t>
      </w:r>
    </w:p>
    <w:p w:rsidR="00E03453" w:rsidRDefault="00E03453" w:rsidP="001C56CB">
      <w:pPr>
        <w:pStyle w:val="ListParagraph"/>
        <w:numPr>
          <w:ilvl w:val="0"/>
          <w:numId w:val="4"/>
        </w:numPr>
      </w:pPr>
      <w:r>
        <w:t xml:space="preserve">Once </w:t>
      </w:r>
      <w:r w:rsidR="00DD73E3">
        <w:t xml:space="preserve">the above (5-10) are </w:t>
      </w:r>
      <w:r>
        <w:t>accomplished</w:t>
      </w:r>
      <w:r w:rsidR="00DD73E3">
        <w:t>/ nearly accomplished</w:t>
      </w:r>
      <w:r>
        <w:t xml:space="preserve">, start the survey process. </w:t>
      </w:r>
    </w:p>
    <w:p w:rsidR="00E03453" w:rsidRDefault="001C56CB" w:rsidP="00DD73E3">
      <w:pPr>
        <w:pStyle w:val="ListParagraph"/>
        <w:numPr>
          <w:ilvl w:val="0"/>
          <w:numId w:val="4"/>
        </w:numPr>
      </w:pPr>
      <w:r>
        <w:t>Please remember d</w:t>
      </w:r>
      <w:r w:rsidR="00E03453">
        <w:t>ocumentation/ physical existence is one major source of evidence</w:t>
      </w:r>
      <w:r w:rsidR="00832763">
        <w:t>,</w:t>
      </w:r>
      <w:r w:rsidR="00E03453">
        <w:t xml:space="preserve"> and you need to ensure that the department is emphasizing this at the directives of the department chairman. </w:t>
      </w:r>
      <w:r>
        <w:t xml:space="preserve">This basically implies a </w:t>
      </w:r>
      <w:r w:rsidRPr="00CE14AC">
        <w:rPr>
          <w:b/>
          <w:bCs/>
        </w:rPr>
        <w:t>departmental house-keeping exercise</w:t>
      </w:r>
      <w:r>
        <w:t xml:space="preserve"> to ensure appropriate documentation of existing practice</w:t>
      </w:r>
      <w:r w:rsidR="00796D8E">
        <w:t>s</w:t>
      </w:r>
      <w:r>
        <w:t xml:space="preserve">. </w:t>
      </w:r>
    </w:p>
    <w:p w:rsidR="00E03453" w:rsidRDefault="00832763" w:rsidP="00DD73E3">
      <w:pPr>
        <w:pStyle w:val="ListParagraph"/>
        <w:numPr>
          <w:ilvl w:val="0"/>
          <w:numId w:val="4"/>
        </w:numPr>
      </w:pPr>
      <w:r>
        <w:t>For both</w:t>
      </w:r>
      <w:r w:rsidR="00DD73E3">
        <w:t xml:space="preserve"> the </w:t>
      </w:r>
      <w:r>
        <w:t xml:space="preserve">‘haves’ and ‘have </w:t>
      </w:r>
      <w:proofErr w:type="spellStart"/>
      <w:r>
        <w:t>no</w:t>
      </w:r>
      <w:r w:rsidR="00E03453">
        <w:t>ts</w:t>
      </w:r>
      <w:r>
        <w:t>’</w:t>
      </w:r>
      <w:proofErr w:type="spellEnd"/>
      <w:r>
        <w:t>,</w:t>
      </w:r>
      <w:r w:rsidR="00E03453">
        <w:t xml:space="preserve"> you have to substantiate with documented evidence. </w:t>
      </w:r>
    </w:p>
    <w:p w:rsidR="00E03453" w:rsidRDefault="00832763" w:rsidP="00DD73E3">
      <w:pPr>
        <w:pStyle w:val="ListParagraph"/>
        <w:numPr>
          <w:ilvl w:val="0"/>
          <w:numId w:val="4"/>
        </w:numPr>
      </w:pPr>
      <w:r>
        <w:t xml:space="preserve">In your preparatory </w:t>
      </w:r>
      <w:r w:rsidR="00E03453">
        <w:t xml:space="preserve">stage, identify the </w:t>
      </w:r>
      <w:r>
        <w:t>‘</w:t>
      </w:r>
      <w:r w:rsidR="00E03453">
        <w:t>have</w:t>
      </w:r>
      <w:r>
        <w:t xml:space="preserve"> </w:t>
      </w:r>
      <w:proofErr w:type="spellStart"/>
      <w:r w:rsidR="00E03453">
        <w:t>n</w:t>
      </w:r>
      <w:r>
        <w:t>o</w:t>
      </w:r>
      <w:r w:rsidR="00E03453">
        <w:t>ts</w:t>
      </w:r>
      <w:r>
        <w:t>’</w:t>
      </w:r>
      <w:proofErr w:type="spellEnd"/>
      <w:r w:rsidR="00E03453">
        <w:t xml:space="preserve"> that can be accomplished over </w:t>
      </w:r>
      <w:r w:rsidR="001C56CB">
        <w:t>the</w:t>
      </w:r>
      <w:r w:rsidR="00E03453">
        <w:t xml:space="preserve"> </w:t>
      </w:r>
      <w:r w:rsidR="001C56CB">
        <w:rPr>
          <w:u w:val="single"/>
        </w:rPr>
        <w:t>long run.</w:t>
      </w:r>
      <w:r w:rsidR="00E03453">
        <w:t xml:space="preserve"> Make this part of your improvement plan wit</w:t>
      </w:r>
      <w:r>
        <w:t xml:space="preserve">h </w:t>
      </w:r>
      <w:r w:rsidR="00CE14AC">
        <w:t xml:space="preserve">specific </w:t>
      </w:r>
      <w:r>
        <w:t>time</w:t>
      </w:r>
      <w:r w:rsidR="001C56CB">
        <w:t>line and strategy.</w:t>
      </w:r>
    </w:p>
    <w:p w:rsidR="00E03453" w:rsidRDefault="00E03453" w:rsidP="00DD73E3">
      <w:pPr>
        <w:pStyle w:val="ListParagraph"/>
        <w:numPr>
          <w:ilvl w:val="0"/>
          <w:numId w:val="4"/>
        </w:numPr>
      </w:pPr>
      <w:r>
        <w:t xml:space="preserve">Identify things that cannot be addressed by the department and need institutional response. For example, admission, recruitment etc. But for these, please remember to report what would be a better practice from </w:t>
      </w:r>
      <w:r w:rsidR="00832763">
        <w:t xml:space="preserve">your </w:t>
      </w:r>
      <w:r>
        <w:t>department's perspective.</w:t>
      </w:r>
    </w:p>
    <w:p w:rsidR="00433D50" w:rsidRDefault="00E03453" w:rsidP="00DD73E3">
      <w:pPr>
        <w:pStyle w:val="ListParagraph"/>
        <w:numPr>
          <w:ilvl w:val="0"/>
          <w:numId w:val="4"/>
        </w:numPr>
      </w:pPr>
      <w:r>
        <w:t>IQAC is going to work on the institutional documentation</w:t>
      </w:r>
      <w:r w:rsidR="00832763">
        <w:t>/ evidence</w:t>
      </w:r>
      <w:r>
        <w:t xml:space="preserve"> issues</w:t>
      </w:r>
      <w:r w:rsidR="00796D8E">
        <w:t xml:space="preserve"> stated in 15</w:t>
      </w:r>
      <w:r>
        <w:t>.</w:t>
      </w:r>
    </w:p>
    <w:p w:rsidR="00832763" w:rsidRDefault="00832763" w:rsidP="00DD73E3">
      <w:pPr>
        <w:pStyle w:val="ListParagraph"/>
        <w:numPr>
          <w:ilvl w:val="0"/>
          <w:numId w:val="4"/>
        </w:numPr>
      </w:pPr>
      <w:r>
        <w:t xml:space="preserve">Contact IQAC as many times as you need without hesitation. </w:t>
      </w:r>
    </w:p>
    <w:p w:rsidR="00832763" w:rsidRDefault="00832763" w:rsidP="00DD73E3">
      <w:pPr>
        <w:pStyle w:val="ListParagraph"/>
        <w:numPr>
          <w:ilvl w:val="0"/>
          <w:numId w:val="4"/>
        </w:numPr>
      </w:pPr>
      <w:r>
        <w:t xml:space="preserve">By now you must be done with your </w:t>
      </w:r>
      <w:r w:rsidRPr="00796D8E">
        <w:rPr>
          <w:u w:val="single"/>
        </w:rPr>
        <w:t>Activity Plan</w:t>
      </w:r>
      <w:r>
        <w:t xml:space="preserve"> </w:t>
      </w:r>
      <w:r w:rsidR="00D73536">
        <w:t xml:space="preserve">according to the SA process flowchart, </w:t>
      </w:r>
      <w:r>
        <w:t xml:space="preserve">and the plan must </w:t>
      </w:r>
      <w:r w:rsidR="00D73536">
        <w:t xml:space="preserve">have been </w:t>
      </w:r>
      <w:r>
        <w:t>submitted to IQAC.</w:t>
      </w:r>
    </w:p>
    <w:p w:rsidR="00832763" w:rsidRPr="00CE14AC" w:rsidRDefault="00832763" w:rsidP="00DD73E3">
      <w:pPr>
        <w:pStyle w:val="ListParagraph"/>
        <w:numPr>
          <w:ilvl w:val="0"/>
          <w:numId w:val="4"/>
        </w:numPr>
        <w:rPr>
          <w:b/>
          <w:bCs/>
        </w:rPr>
      </w:pPr>
      <w:r w:rsidRPr="00CE14AC">
        <w:rPr>
          <w:b/>
          <w:bCs/>
        </w:rPr>
        <w:t>In the next couple of weeks we will be having a few meetings with the SACs to discuss the standards and the questionnaires.</w:t>
      </w:r>
      <w:r w:rsidR="001C56CB" w:rsidRPr="00CE14AC">
        <w:rPr>
          <w:b/>
          <w:bCs/>
        </w:rPr>
        <w:t xml:space="preserve"> In the process we will also make necessary </w:t>
      </w:r>
      <w:r w:rsidR="00D73536" w:rsidRPr="00CE14AC">
        <w:rPr>
          <w:b/>
          <w:bCs/>
        </w:rPr>
        <w:t>amendments</w:t>
      </w:r>
      <w:r w:rsidR="001C56CB" w:rsidRPr="00CE14AC">
        <w:rPr>
          <w:b/>
          <w:bCs/>
        </w:rPr>
        <w:t xml:space="preserve"> of the questionnaires. </w:t>
      </w:r>
      <w:r w:rsidR="00CE14AC" w:rsidRPr="00CE14AC">
        <w:rPr>
          <w:b/>
          <w:bCs/>
        </w:rPr>
        <w:t>– THIS IS WHAT WE ARE DOING TODAY!</w:t>
      </w:r>
      <w:r w:rsidRPr="00CE14AC">
        <w:rPr>
          <w:b/>
          <w:bCs/>
        </w:rPr>
        <w:t xml:space="preserve"> </w:t>
      </w:r>
    </w:p>
    <w:p w:rsidR="00CE22F1" w:rsidRPr="00D73536" w:rsidRDefault="001C56CB" w:rsidP="001C56CB">
      <w:pPr>
        <w:pStyle w:val="ListParagraph"/>
        <w:numPr>
          <w:ilvl w:val="0"/>
          <w:numId w:val="4"/>
        </w:numPr>
      </w:pPr>
      <w:r>
        <w:t xml:space="preserve">In the meantime, </w:t>
      </w:r>
      <w:r w:rsidR="00D73536">
        <w:t xml:space="preserve">according to the SA process flow chart, </w:t>
      </w:r>
      <w:r>
        <w:t xml:space="preserve">you need to hold your first departmental </w:t>
      </w:r>
      <w:r w:rsidRPr="00796D8E">
        <w:rPr>
          <w:u w:val="single"/>
        </w:rPr>
        <w:t>workshop</w:t>
      </w:r>
      <w:r>
        <w:t xml:space="preserve"> by October</w:t>
      </w:r>
      <w:r w:rsidR="00CE14AC">
        <w:t>/ Early November</w:t>
      </w:r>
      <w:r>
        <w:t xml:space="preserve"> 2016. This is where you </w:t>
      </w:r>
      <w:r w:rsidRPr="001C56CB">
        <w:rPr>
          <w:lang w:val="en-GB"/>
        </w:rPr>
        <w:t>meet</w:t>
      </w:r>
      <w:r w:rsidR="00B24045" w:rsidRPr="001C56CB">
        <w:rPr>
          <w:lang w:val="en-GB"/>
        </w:rPr>
        <w:t xml:space="preserve"> with </w:t>
      </w:r>
      <w:r w:rsidR="00CE14AC">
        <w:rPr>
          <w:lang w:val="en-GB"/>
        </w:rPr>
        <w:t xml:space="preserve">your </w:t>
      </w:r>
      <w:r w:rsidR="00D73536">
        <w:rPr>
          <w:lang w:val="en-GB"/>
        </w:rPr>
        <w:t>department faculty and staff</w:t>
      </w:r>
      <w:r w:rsidRPr="001C56CB">
        <w:rPr>
          <w:lang w:val="en-GB"/>
        </w:rPr>
        <w:t xml:space="preserve">. </w:t>
      </w:r>
      <w:r w:rsidR="00B24045" w:rsidRPr="001C56CB">
        <w:rPr>
          <w:lang w:val="en-GB"/>
        </w:rPr>
        <w:t xml:space="preserve">The </w:t>
      </w:r>
      <w:r w:rsidR="00B24045" w:rsidRPr="001C56CB">
        <w:rPr>
          <w:b/>
          <w:bCs/>
          <w:lang w:val="en-GB"/>
        </w:rPr>
        <w:t>SA</w:t>
      </w:r>
      <w:r w:rsidR="00B24045" w:rsidRPr="001C56CB">
        <w:rPr>
          <w:lang w:val="en-GB"/>
        </w:rPr>
        <w:t xml:space="preserve"> plan should be explained clearly and completely </w:t>
      </w:r>
      <w:r w:rsidR="00D73536">
        <w:rPr>
          <w:lang w:val="en-GB"/>
        </w:rPr>
        <w:t>in this workshop. In the presence of the chair and all the members of the department</w:t>
      </w:r>
      <w:r w:rsidR="00796D8E">
        <w:rPr>
          <w:lang w:val="en-GB"/>
        </w:rPr>
        <w:t>,</w:t>
      </w:r>
      <w:r w:rsidR="00D73536">
        <w:rPr>
          <w:lang w:val="en-GB"/>
        </w:rPr>
        <w:t xml:space="preserve"> you solicit their </w:t>
      </w:r>
      <w:r w:rsidR="00D73536">
        <w:rPr>
          <w:lang w:val="en-GB"/>
        </w:rPr>
        <w:lastRenderedPageBreak/>
        <w:t xml:space="preserve">cooperation in this SA process. You organize this workshop from your allocated budget. Seek IQAC’s guidance in this regard. </w:t>
      </w:r>
    </w:p>
    <w:p w:rsidR="00832763" w:rsidRPr="00CE14AC" w:rsidRDefault="00D73536" w:rsidP="00CE14AC">
      <w:pPr>
        <w:pStyle w:val="ListParagraph"/>
        <w:numPr>
          <w:ilvl w:val="0"/>
          <w:numId w:val="4"/>
        </w:numPr>
        <w:rPr>
          <w:b/>
          <w:bCs/>
        </w:rPr>
      </w:pPr>
      <w:r w:rsidRPr="00B24045">
        <w:rPr>
          <w:lang w:val="en-GB"/>
        </w:rPr>
        <w:t xml:space="preserve">Attached is a document containing the set of five questionnaires revised by NSU IQAC </w:t>
      </w:r>
      <w:proofErr w:type="gramStart"/>
      <w:r w:rsidRPr="00B24045">
        <w:rPr>
          <w:lang w:val="en-GB"/>
        </w:rPr>
        <w:t>team.</w:t>
      </w:r>
      <w:proofErr w:type="gramEnd"/>
      <w:r w:rsidRPr="00B24045">
        <w:rPr>
          <w:lang w:val="en-GB"/>
        </w:rPr>
        <w:t xml:space="preserve"> The questions are connected to the standards. The number of the </w:t>
      </w:r>
      <w:r w:rsidR="00B24045" w:rsidRPr="00B24045">
        <w:rPr>
          <w:lang w:val="en-GB"/>
        </w:rPr>
        <w:t xml:space="preserve">standard </w:t>
      </w:r>
      <w:r w:rsidRPr="00B24045">
        <w:rPr>
          <w:lang w:val="en-GB"/>
        </w:rPr>
        <w:t>is mentioned within parentheses</w:t>
      </w:r>
      <w:r w:rsidR="00796D8E">
        <w:rPr>
          <w:lang w:val="en-GB"/>
        </w:rPr>
        <w:t xml:space="preserve"> next to the question. </w:t>
      </w:r>
      <w:r w:rsidRPr="00B24045">
        <w:rPr>
          <w:lang w:val="en-GB"/>
        </w:rPr>
        <w:t xml:space="preserve"> </w:t>
      </w:r>
      <w:r w:rsidR="00B24045" w:rsidRPr="00B24045">
        <w:rPr>
          <w:lang w:val="en-GB"/>
        </w:rPr>
        <w:t xml:space="preserve">It means that the survey answer to a particular question is going to provide evidence in favour of the standard </w:t>
      </w:r>
      <w:r w:rsidR="00B24045">
        <w:rPr>
          <w:lang w:val="en-GB"/>
        </w:rPr>
        <w:t xml:space="preserve">number </w:t>
      </w:r>
      <w:r w:rsidR="00B24045" w:rsidRPr="00B24045">
        <w:rPr>
          <w:lang w:val="en-GB"/>
        </w:rPr>
        <w:t xml:space="preserve">in parentheses. The questions that are marked by </w:t>
      </w:r>
      <w:r w:rsidR="00B24045" w:rsidRPr="00796D8E">
        <w:rPr>
          <w:b/>
          <w:bCs/>
          <w:lang w:val="en-GB"/>
        </w:rPr>
        <w:t>X</w:t>
      </w:r>
      <w:r w:rsidR="00B24045" w:rsidRPr="00B24045">
        <w:rPr>
          <w:lang w:val="en-GB"/>
        </w:rPr>
        <w:t xml:space="preserve"> came from the original version of </w:t>
      </w:r>
      <w:r w:rsidR="00B24045" w:rsidRPr="00796D8E">
        <w:rPr>
          <w:i/>
          <w:iCs/>
          <w:lang w:val="en-GB"/>
        </w:rPr>
        <w:t>Sam</w:t>
      </w:r>
      <w:r w:rsidR="00B24045" w:rsidRPr="00B24045">
        <w:rPr>
          <w:lang w:val="en-GB"/>
        </w:rPr>
        <w:t xml:space="preserve"> </w:t>
      </w:r>
      <w:r w:rsidR="00B24045">
        <w:rPr>
          <w:lang w:val="en-GB"/>
        </w:rPr>
        <w:t>but</w:t>
      </w:r>
      <w:r w:rsidR="00B24045" w:rsidRPr="00B24045">
        <w:rPr>
          <w:lang w:val="en-GB"/>
        </w:rPr>
        <w:t xml:space="preserve"> do not connect to any standards. The questions with </w:t>
      </w:r>
      <w:r w:rsidR="00B24045" w:rsidRPr="00796D8E">
        <w:rPr>
          <w:b/>
          <w:bCs/>
          <w:lang w:val="en-GB"/>
        </w:rPr>
        <w:t>bold print</w:t>
      </w:r>
      <w:r w:rsidR="00B24045" w:rsidRPr="00B24045">
        <w:rPr>
          <w:lang w:val="en-GB"/>
        </w:rPr>
        <w:t xml:space="preserve"> standard numbers are abse</w:t>
      </w:r>
      <w:r w:rsidR="00796D8E">
        <w:rPr>
          <w:lang w:val="en-GB"/>
        </w:rPr>
        <w:t xml:space="preserve">nt in the original version, </w:t>
      </w:r>
      <w:r w:rsidR="00B24045">
        <w:rPr>
          <w:lang w:val="en-GB"/>
        </w:rPr>
        <w:t>are</w:t>
      </w:r>
      <w:r w:rsidR="00B24045" w:rsidRPr="00B24045">
        <w:rPr>
          <w:lang w:val="en-GB"/>
        </w:rPr>
        <w:t xml:space="preserve"> added later</w:t>
      </w:r>
      <w:r w:rsidR="00796D8E">
        <w:rPr>
          <w:lang w:val="en-GB"/>
        </w:rPr>
        <w:t xml:space="preserve"> and are connected to the standards</w:t>
      </w:r>
      <w:r w:rsidR="00B24045" w:rsidRPr="00CE14AC">
        <w:rPr>
          <w:b/>
          <w:bCs/>
          <w:lang w:val="en-GB"/>
        </w:rPr>
        <w:t>. In our upcoming meetings we are going to use this document to decide what to keep and what not to keep.</w:t>
      </w:r>
      <w:r w:rsidR="00B24045">
        <w:rPr>
          <w:lang w:val="en-GB"/>
        </w:rPr>
        <w:t xml:space="preserve">  </w:t>
      </w:r>
      <w:r w:rsidR="00CE14AC" w:rsidRPr="00CE14AC">
        <w:rPr>
          <w:b/>
          <w:bCs/>
        </w:rPr>
        <w:t xml:space="preserve">– THIS IS WHAT WE ARE DOING TODAY! </w:t>
      </w:r>
    </w:p>
    <w:p w:rsidR="00B24045" w:rsidRPr="00CE14AC" w:rsidRDefault="00B24045" w:rsidP="00E03453">
      <w:pPr>
        <w:pStyle w:val="ListParagraph"/>
        <w:numPr>
          <w:ilvl w:val="0"/>
          <w:numId w:val="4"/>
        </w:numPr>
      </w:pPr>
      <w:r>
        <w:rPr>
          <w:lang w:val="en-GB"/>
        </w:rPr>
        <w:t>Attached also is a sample write up for a particular standard (1</w:t>
      </w:r>
      <w:r w:rsidR="00455D03">
        <w:rPr>
          <w:lang w:val="en-GB"/>
        </w:rPr>
        <w:t>.5</w:t>
      </w:r>
      <w:r>
        <w:rPr>
          <w:lang w:val="en-GB"/>
        </w:rPr>
        <w:t xml:space="preserve">) for your use as reference in the future. </w:t>
      </w:r>
    </w:p>
    <w:p w:rsidR="00CE14AC" w:rsidRDefault="00CE14AC" w:rsidP="00CE14AC">
      <w:pPr>
        <w:ind w:left="360"/>
      </w:pPr>
    </w:p>
    <w:p w:rsidR="00CE14AC" w:rsidRDefault="00CE14AC" w:rsidP="00CE14AC">
      <w:pPr>
        <w:ind w:left="360"/>
      </w:pPr>
      <w:r>
        <w:t>Thanks and Best wishes.</w:t>
      </w:r>
    </w:p>
    <w:p w:rsidR="002B3681" w:rsidRDefault="002B3681" w:rsidP="00CE14AC">
      <w:pPr>
        <w:ind w:left="360"/>
      </w:pPr>
      <w:r>
        <w:t>Oct 20, 2016</w:t>
      </w:r>
    </w:p>
    <w:p w:rsidR="00CE14AC" w:rsidRDefault="00CE14AC" w:rsidP="00CE14AC">
      <w:pPr>
        <w:ind w:left="360"/>
      </w:pPr>
    </w:p>
    <w:p w:rsidR="00CE14AC" w:rsidRDefault="00CE14AC" w:rsidP="00CE14AC">
      <w:pPr>
        <w:ind w:left="360"/>
      </w:pPr>
    </w:p>
    <w:p w:rsidR="00CE14AC" w:rsidRDefault="00B421C5" w:rsidP="00B421C5">
      <w:pPr>
        <w:ind w:left="360"/>
        <w:jc w:val="center"/>
      </w:pPr>
      <w:r>
        <w:rPr>
          <w:noProof/>
        </w:rPr>
        <w:drawing>
          <wp:inline distT="0" distB="0" distL="0" distR="0">
            <wp:extent cx="3261288" cy="2238375"/>
            <wp:effectExtent l="190500" t="152400" r="167712" b="142875"/>
            <wp:docPr id="1" name="Picture 1" descr="C:\Users\Hp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288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421C5">
        <w:t>https://caps.umich.edu/article/together-we-can</w:t>
      </w:r>
    </w:p>
    <w:sectPr w:rsidR="00CE14AC" w:rsidSect="0043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2D51"/>
    <w:multiLevelType w:val="hybridMultilevel"/>
    <w:tmpl w:val="540811D8"/>
    <w:lvl w:ilvl="0" w:tplc="29F4D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137"/>
    <w:multiLevelType w:val="hybridMultilevel"/>
    <w:tmpl w:val="B88ED67C"/>
    <w:lvl w:ilvl="0" w:tplc="29F4D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C1F2C"/>
    <w:multiLevelType w:val="hybridMultilevel"/>
    <w:tmpl w:val="3E6E6BB4"/>
    <w:lvl w:ilvl="0" w:tplc="48AEB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EB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0D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84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4B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0E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69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61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A0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8B045A"/>
    <w:multiLevelType w:val="hybridMultilevel"/>
    <w:tmpl w:val="042A245C"/>
    <w:lvl w:ilvl="0" w:tplc="29F4D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D3E9B"/>
    <w:multiLevelType w:val="hybridMultilevel"/>
    <w:tmpl w:val="16E2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453"/>
    <w:rsid w:val="000C0BC8"/>
    <w:rsid w:val="001C56CB"/>
    <w:rsid w:val="002B3681"/>
    <w:rsid w:val="0041500A"/>
    <w:rsid w:val="00433D50"/>
    <w:rsid w:val="004405EB"/>
    <w:rsid w:val="00455D03"/>
    <w:rsid w:val="005264AA"/>
    <w:rsid w:val="00796D8E"/>
    <w:rsid w:val="00832763"/>
    <w:rsid w:val="00B24045"/>
    <w:rsid w:val="00B421C5"/>
    <w:rsid w:val="00B72A7E"/>
    <w:rsid w:val="00CE14AC"/>
    <w:rsid w:val="00CE22F1"/>
    <w:rsid w:val="00D73536"/>
    <w:rsid w:val="00DD73E3"/>
    <w:rsid w:val="00E0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2016-09-29T11:16:00Z</dcterms:created>
  <dcterms:modified xsi:type="dcterms:W3CDTF">2017-03-05T11:37:00Z</dcterms:modified>
</cp:coreProperties>
</file>